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3680" w:type="dxa"/>
        <w:tblInd w:w="93" w:type="dxa"/>
        <w:tblLayout w:type="fixed"/>
        <w:tblCellMar>
          <w:top w:w="0" w:type="dxa"/>
          <w:left w:w="108" w:type="dxa"/>
          <w:bottom w:w="0" w:type="dxa"/>
          <w:right w:w="108" w:type="dxa"/>
        </w:tblCellMar>
      </w:tblPr>
      <w:tblGrid>
        <w:gridCol w:w="511"/>
        <w:gridCol w:w="1921"/>
        <w:gridCol w:w="4543"/>
        <w:gridCol w:w="2322"/>
        <w:gridCol w:w="2662"/>
        <w:gridCol w:w="1721"/>
      </w:tblGrid>
      <w:tr>
        <w:tblPrEx>
          <w:tblCellMar>
            <w:top w:w="0" w:type="dxa"/>
            <w:left w:w="108" w:type="dxa"/>
            <w:bottom w:w="0" w:type="dxa"/>
            <w:right w:w="108" w:type="dxa"/>
          </w:tblCellMar>
        </w:tblPrEx>
        <w:trPr>
          <w:trHeight w:val="624" w:hRule="atLeast"/>
        </w:trPr>
        <w:tc>
          <w:tcPr>
            <w:tcW w:w="13680" w:type="dxa"/>
            <w:gridSpan w:val="6"/>
            <w:vMerge w:val="restart"/>
            <w:tcBorders>
              <w:top w:val="nil"/>
              <w:left w:val="nil"/>
              <w:bottom w:val="nil"/>
              <w:right w:val="nil"/>
            </w:tcBorders>
            <w:shd w:val="clear" w:color="auto" w:fill="auto"/>
            <w:vAlign w:val="bottom"/>
          </w:tcPr>
          <w:p>
            <w:pPr>
              <w:widowControl/>
              <w:jc w:val="center"/>
              <w:rPr>
                <w:rFonts w:ascii="宋体" w:hAnsi="宋体" w:eastAsia="宋体" w:cs="宋体"/>
                <w:kern w:val="0"/>
                <w:sz w:val="40"/>
                <w:szCs w:val="40"/>
              </w:rPr>
            </w:pPr>
            <w:r>
              <w:rPr>
                <w:rFonts w:hint="eastAsia" w:ascii="宋体" w:hAnsi="宋体" w:eastAsia="宋体" w:cs="宋体"/>
                <w:kern w:val="0"/>
                <w:sz w:val="40"/>
                <w:szCs w:val="40"/>
              </w:rPr>
              <w:br w:type="textWrapping"/>
            </w:r>
            <w:r>
              <w:rPr>
                <w:rFonts w:hint="eastAsia" w:ascii="宋体" w:hAnsi="宋体" w:eastAsia="宋体" w:cs="宋体"/>
                <w:kern w:val="0"/>
                <w:sz w:val="40"/>
                <w:szCs w:val="40"/>
                <w:lang w:eastAsia="zh-CN"/>
              </w:rPr>
              <w:t>广西</w:t>
            </w:r>
            <w:r>
              <w:rPr>
                <w:rFonts w:hint="eastAsia" w:ascii="宋体" w:hAnsi="宋体" w:eastAsia="宋体" w:cs="宋体"/>
                <w:kern w:val="0"/>
                <w:sz w:val="40"/>
                <w:szCs w:val="40"/>
              </w:rPr>
              <w:t>海事局20</w:t>
            </w:r>
            <w:r>
              <w:rPr>
                <w:rFonts w:hint="eastAsia" w:ascii="宋体" w:hAnsi="宋体" w:eastAsia="宋体" w:cs="宋体"/>
                <w:kern w:val="0"/>
                <w:sz w:val="40"/>
                <w:szCs w:val="40"/>
                <w:lang w:val="en-US" w:eastAsia="zh-CN"/>
              </w:rPr>
              <w:t>21</w:t>
            </w:r>
            <w:r>
              <w:rPr>
                <w:rFonts w:hint="eastAsia" w:ascii="宋体" w:hAnsi="宋体" w:eastAsia="宋体" w:cs="宋体"/>
                <w:kern w:val="0"/>
                <w:sz w:val="40"/>
                <w:szCs w:val="40"/>
              </w:rPr>
              <w:t>年双随机检查结果公示</w:t>
            </w:r>
          </w:p>
        </w:tc>
      </w:tr>
      <w:tr>
        <w:tblPrEx>
          <w:tblCellMar>
            <w:top w:w="0" w:type="dxa"/>
            <w:left w:w="108" w:type="dxa"/>
            <w:bottom w:w="0" w:type="dxa"/>
            <w:right w:w="108" w:type="dxa"/>
          </w:tblCellMar>
        </w:tblPrEx>
        <w:trPr>
          <w:trHeight w:val="645" w:hRule="atLeast"/>
        </w:trPr>
        <w:tc>
          <w:tcPr>
            <w:tcW w:w="13680" w:type="dxa"/>
            <w:gridSpan w:val="6"/>
            <w:vMerge w:val="continue"/>
            <w:tcBorders>
              <w:top w:val="nil"/>
              <w:left w:val="nil"/>
              <w:bottom w:val="single" w:color="auto" w:sz="4" w:space="0"/>
              <w:right w:val="nil"/>
            </w:tcBorders>
            <w:vAlign w:val="center"/>
          </w:tcPr>
          <w:p>
            <w:pPr>
              <w:widowControl/>
              <w:jc w:val="left"/>
              <w:rPr>
                <w:rFonts w:ascii="宋体" w:hAnsi="宋体" w:eastAsia="宋体" w:cs="宋体"/>
                <w:kern w:val="0"/>
                <w:sz w:val="40"/>
                <w:szCs w:val="40"/>
              </w:rPr>
            </w:pPr>
          </w:p>
        </w:tc>
      </w:tr>
      <w:tr>
        <w:tblPrEx>
          <w:tblCellMar>
            <w:top w:w="0" w:type="dxa"/>
            <w:left w:w="108" w:type="dxa"/>
            <w:bottom w:w="0" w:type="dxa"/>
            <w:right w:w="108" w:type="dxa"/>
          </w:tblCellMar>
        </w:tblPrEx>
        <w:trPr>
          <w:trHeight w:val="285" w:hRule="atLeast"/>
        </w:trPr>
        <w:tc>
          <w:tcPr>
            <w:tcW w:w="5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序号</w:t>
            </w:r>
          </w:p>
        </w:tc>
        <w:tc>
          <w:tcPr>
            <w:tcW w:w="19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抽查事项名称</w:t>
            </w:r>
          </w:p>
        </w:tc>
        <w:tc>
          <w:tcPr>
            <w:tcW w:w="45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抽查内容</w:t>
            </w:r>
          </w:p>
        </w:tc>
        <w:tc>
          <w:tcPr>
            <w:tcW w:w="23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抽查数量</w:t>
            </w:r>
          </w:p>
        </w:tc>
        <w:tc>
          <w:tcPr>
            <w:tcW w:w="266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抽查结果</w:t>
            </w:r>
          </w:p>
        </w:tc>
        <w:tc>
          <w:tcPr>
            <w:tcW w:w="1721"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问题整改情况</w:t>
            </w:r>
          </w:p>
        </w:tc>
      </w:tr>
      <w:tr>
        <w:tblPrEx>
          <w:tblCellMar>
            <w:top w:w="0" w:type="dxa"/>
            <w:left w:w="108" w:type="dxa"/>
            <w:bottom w:w="0" w:type="dxa"/>
            <w:right w:w="108" w:type="dxa"/>
          </w:tblCellMar>
        </w:tblPrEx>
        <w:trPr>
          <w:trHeight w:val="171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船舶污染港区水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域作业监督检查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1、作业报告检查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2、船舶证书文书及记录检查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3、作业单位资质能力检查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4、设备检查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5、操作性检查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6、船舶污染物接收和处理情况检查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7、较高污染风险作业的作业方案检查</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1580艘次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lang w:eastAsia="zh-CN"/>
              </w:rPr>
              <w:t>发现缺陷</w:t>
            </w:r>
            <w:r>
              <w:rPr>
                <w:rFonts w:hint="eastAsia" w:ascii="宋体" w:hAnsi="宋体" w:eastAsia="宋体" w:cs="宋体"/>
                <w:kern w:val="0"/>
                <w:sz w:val="20"/>
                <w:szCs w:val="20"/>
                <w:lang w:val="en-US" w:eastAsia="zh-CN"/>
              </w:rPr>
              <w:t>67艘次</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要求立即整改，实施行政处罚</w:t>
            </w:r>
          </w:p>
        </w:tc>
      </w:tr>
      <w:tr>
        <w:tblPrEx>
          <w:tblCellMar>
            <w:top w:w="0" w:type="dxa"/>
            <w:left w:w="108" w:type="dxa"/>
            <w:bottom w:w="0" w:type="dxa"/>
            <w:right w:w="108" w:type="dxa"/>
          </w:tblCellMar>
        </w:tblPrEx>
        <w:trPr>
          <w:trHeight w:val="144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2</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船舶载运危险货物和污染危害性货物进出港口检查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1、载运固体散装危险货物的船舶的证书文书记录、装载情况、申报等情况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2、载运包装危险货物的船舶证书文书记录、装载情况、申报等情况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3、载运散装液体危险货物的船舶证书文书记录、装载情况、申报等情况</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785艘次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bookmarkStart w:id="0" w:name="_GoBack"/>
            <w:bookmarkEnd w:id="0"/>
          </w:p>
        </w:tc>
      </w:tr>
      <w:tr>
        <w:tblPrEx>
          <w:tblCellMar>
            <w:top w:w="0" w:type="dxa"/>
            <w:left w:w="108" w:type="dxa"/>
            <w:bottom w:w="0" w:type="dxa"/>
            <w:right w:w="108" w:type="dxa"/>
          </w:tblCellMar>
        </w:tblPrEx>
        <w:trPr>
          <w:trHeight w:val="153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3</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培训机构从事船员、引航员培训业务检查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1、教学计划的执行情况；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2、承担本期培训教学任务的教员情况和授课情况；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3、培训设施、设备、教材的使用、补充情况；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4、培训规模与师资配备要求的符合情况；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5、学员的出勤情况。</w:t>
            </w:r>
          </w:p>
        </w:tc>
        <w:tc>
          <w:tcPr>
            <w:tcW w:w="2322" w:type="dxa"/>
            <w:tcBorders>
              <w:top w:val="nil"/>
              <w:left w:val="nil"/>
              <w:bottom w:val="single" w:color="auto" w:sz="4" w:space="0"/>
              <w:right w:val="single" w:color="auto" w:sz="4" w:space="0"/>
            </w:tcBorders>
            <w:shd w:val="clear" w:color="auto" w:fill="auto"/>
            <w:vAlign w:val="center"/>
          </w:tcPr>
          <w:p>
            <w:pPr>
              <w:widowControl/>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213次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抽查发现存在学员健康情况承诺书未提前签署，有缺勤情况</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现场整改，要求考勤不合格的学员，不得参加考试。</w:t>
            </w: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4</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船舶污染物接收单位从事船舶垃圾、残油、含油污水、含有毒有害物质污水接收作业监督检查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2、安全与防污染管理制度检查。</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3、作业方案、相关操作规程、防污染措施。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4、污染物处置记录情况。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6、是否按照规定向船舶出具污染物接收单证。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7、船舶污染物的接收和处理情况备案</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27次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1家公司进行污染物接受作业前未按规定向海事管理机构报告</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实施行政处罚</w:t>
            </w:r>
          </w:p>
        </w:tc>
      </w:tr>
      <w:tr>
        <w:tblPrEx>
          <w:tblCellMar>
            <w:top w:w="0" w:type="dxa"/>
            <w:left w:w="108" w:type="dxa"/>
            <w:bottom w:w="0" w:type="dxa"/>
            <w:right w:w="108" w:type="dxa"/>
          </w:tblCellMar>
        </w:tblPrEx>
        <w:trPr>
          <w:trHeight w:val="168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5</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通航水域岸线安全使用和水上水下活动检查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1、《水上水下活动许可证》                                              2、实际作业是否与《水上水下活动许可证》一致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3、作业前是否发布航行通（警）告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4、施工作业单位和作业人员是否遵守施工作业安全、施工水域通航安全及防污染等规定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5、安全作业区警示标志、安全设施或者警戒船配备                                                6、活动完成后，碍航物清理情况。</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970次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查处涉水工程违法违规行为</w:t>
            </w:r>
            <w:r>
              <w:rPr>
                <w:rFonts w:hint="eastAsia" w:ascii="宋体" w:hAnsi="宋体" w:eastAsia="宋体" w:cs="宋体"/>
                <w:kern w:val="0"/>
                <w:sz w:val="20"/>
                <w:szCs w:val="20"/>
                <w:lang w:val="en-US" w:eastAsia="zh-CN"/>
              </w:rPr>
              <w:t>31</w:t>
            </w:r>
            <w:r>
              <w:rPr>
                <w:rFonts w:hint="eastAsia" w:ascii="宋体" w:hAnsi="宋体" w:eastAsia="宋体" w:cs="宋体"/>
                <w:kern w:val="0"/>
                <w:sz w:val="20"/>
                <w:szCs w:val="20"/>
              </w:rPr>
              <w:t>起</w:t>
            </w:r>
            <w:r>
              <w:rPr>
                <w:rFonts w:hint="eastAsia" w:ascii="宋体" w:hAnsi="宋体" w:eastAsia="宋体" w:cs="宋体"/>
                <w:kern w:val="0"/>
                <w:sz w:val="20"/>
                <w:szCs w:val="20"/>
                <w:lang w:eastAsia="zh-CN"/>
              </w:rPr>
              <w:t>。</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实施</w:t>
            </w:r>
            <w:r>
              <w:rPr>
                <w:rFonts w:hint="eastAsia" w:ascii="宋体" w:hAnsi="宋体" w:eastAsia="宋体" w:cs="宋体"/>
                <w:kern w:val="0"/>
                <w:sz w:val="20"/>
                <w:szCs w:val="20"/>
              </w:rPr>
              <w:t>行政处罚</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责令停工。</w:t>
            </w:r>
          </w:p>
        </w:tc>
      </w:tr>
      <w:tr>
        <w:tblPrEx>
          <w:tblCellMar>
            <w:top w:w="0" w:type="dxa"/>
            <w:left w:w="108" w:type="dxa"/>
            <w:bottom w:w="0" w:type="dxa"/>
            <w:right w:w="108" w:type="dxa"/>
          </w:tblCellMar>
        </w:tblPrEx>
        <w:trPr>
          <w:trHeight w:val="96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6</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大型设施、移动式平台、超限物体水上拖带活动检查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1、是否针对内河载运或拖带超限物体活动，向海事管理机构提出拖带申请；</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2、内河载运或者拖带超限物体，是否按照核定的航路、时间航行</w:t>
            </w:r>
          </w:p>
        </w:tc>
        <w:tc>
          <w:tcPr>
            <w:tcW w:w="2322" w:type="dxa"/>
            <w:tcBorders>
              <w:top w:val="nil"/>
              <w:left w:val="nil"/>
              <w:bottom w:val="single" w:color="auto" w:sz="4" w:space="0"/>
              <w:right w:val="single" w:color="auto" w:sz="4" w:space="0"/>
            </w:tcBorders>
            <w:shd w:val="clear" w:color="auto" w:fill="auto"/>
            <w:vAlign w:val="center"/>
          </w:tcPr>
          <w:p>
            <w:pPr>
              <w:widowControl/>
              <w:jc w:val="both"/>
              <w:rPr>
                <w:rFonts w:hint="eastAsia" w:ascii="宋体" w:hAnsi="宋体" w:eastAsia="宋体" w:cs="宋体"/>
                <w:kern w:val="0"/>
                <w:sz w:val="20"/>
                <w:szCs w:val="20"/>
                <w:lang w:eastAsia="zh-CN"/>
              </w:rPr>
            </w:pPr>
            <w:r>
              <w:rPr>
                <w:rFonts w:hint="eastAsia" w:ascii="宋体" w:hAnsi="宋体" w:eastAsia="宋体" w:cs="宋体"/>
                <w:kern w:val="0"/>
                <w:sz w:val="20"/>
                <w:szCs w:val="20"/>
                <w:lang w:val="en-US" w:eastAsia="zh-CN"/>
              </w:rPr>
              <w:t>6次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24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7</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从事内河船舶船员服务业务监督检查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1、核查内河船舶船员服务机构的企业法人营业执照、固定办公场所、人员资质是否与备案的信息一致；</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2、核查船员服务质量管理制度、人员和资源保障制度、教育培训制度、应急处理制度和服务业务报告制度等内河船舶船员服务管理制度的记录和执行情况；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3、核查内河船舶船员服务机构的船员档案建立和管理情况，是否与定期报海事管理机构备案的信息一致。</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6次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存在船员服务资历不完善，船员考核情况不完善，未向海事定期情况报备</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已整改并提交书面材料</w:t>
            </w:r>
          </w:p>
        </w:tc>
      </w:tr>
      <w:tr>
        <w:tblPrEx>
          <w:tblCellMar>
            <w:top w:w="0" w:type="dxa"/>
            <w:left w:w="108" w:type="dxa"/>
            <w:bottom w:w="0" w:type="dxa"/>
            <w:right w:w="108" w:type="dxa"/>
          </w:tblCellMar>
        </w:tblPrEx>
        <w:trPr>
          <w:trHeight w:val="144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8</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港口、码头、装卸站以及从事船舶修造、打捞、拆解等作业活动的单位防治船舶污染能力监督检查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1、是否按国家有关标准配备符合要求的污染监视设施，并处于良好状态。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2、是否配备与其装卸货物种类和吞吐能力相适应的船舶污染物接收设施，或是否有其他替代措施满足在港船舶的排放需求。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3、是否组织应急人员进行培训。</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549次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9</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船舶进出港口检查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1、中国籍国内航行船舶进出港报告的现场核查，是否报告，报告信息真实性、航行日志记录情况、AIS状态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2、国际航行船舶进出口岸的现场查验，进出口岸审批、申报、船舶及船员证书文书、缺陷纠正等情况</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9582艘次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发现32艘船舶未按规定向海事管理机构报告的情形；</w:t>
            </w:r>
            <w:r>
              <w:rPr>
                <w:rFonts w:hint="eastAsia" w:ascii="宋体" w:hAnsi="宋体" w:eastAsia="宋体" w:cs="宋体"/>
                <w:kern w:val="0"/>
                <w:sz w:val="20"/>
                <w:szCs w:val="20"/>
                <w:lang w:val="en-US" w:eastAsia="zh-CN"/>
              </w:rPr>
              <w:t>1艘船舶进出港报告信息未在航行日志上记载。</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实施行政处罚，现场整改</w:t>
            </w: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10</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船舶安全检验证书核发检查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1、船舶、设施是否按照规定持有检验证书。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2、检验证书是否存在明显涂改的情况。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3、检验证书的展期或签署是否存在明显违反法规规定或者明显为越权签发的。</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4、检验证书是否与船舶、设施的实际情况相符。</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5147艘次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发现一起船检质量问题，存在船检证书过期的情况。</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已通报责任船检，责令停止航行。</w:t>
            </w:r>
          </w:p>
        </w:tc>
      </w:tr>
      <w:tr>
        <w:tblPrEx>
          <w:tblCellMar>
            <w:top w:w="0" w:type="dxa"/>
            <w:left w:w="108" w:type="dxa"/>
            <w:bottom w:w="0" w:type="dxa"/>
            <w:right w:w="108" w:type="dxa"/>
          </w:tblCellMar>
        </w:tblPrEx>
        <w:trPr>
          <w:trHeight w:val="96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11</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船舶国籍证书核发检查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1、船舶是否按照规定持有船舶国籍证书。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2、船舶国籍证书是否存在明显的伪造、涂改情况。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3、船舶国籍证书是否在有效期内。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4、船舶国籍证书是否与船舶的实际情况相符。</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5213艘次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5艘船舶国籍证书过期</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实施行政处罚</w:t>
            </w: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12</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船舶所有人、经营人或者管理人防治船舶及其有关作业活动污染内河环境应急预案检查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br w:type="textWrapping"/>
            </w:r>
            <w:r>
              <w:rPr>
                <w:rFonts w:hint="eastAsia" w:ascii="宋体" w:hAnsi="宋体" w:eastAsia="宋体" w:cs="宋体"/>
                <w:kern w:val="0"/>
                <w:sz w:val="20"/>
                <w:szCs w:val="20"/>
              </w:rPr>
              <w:t>船舶所有人、经营人或者管理人防治船舶及其有关作业活动污染海洋环境应急预案内容与船舶实际情况是否相符；是否按照预案要求开展演习和培训，并如实记录相关情况</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1162艘次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存在船舶经营人未制定应急预案并开展演习和训练，未如实记录的情况。</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要求立即改正</w:t>
            </w: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13</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船舶油污损害民事责任保险证书或者财务保证证书核发检查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船舶是否按要求持有《油污损害民事责任保险或其他财务保证证书》《非持久性油类污染损害民事责任保险或其他财务保证证书》或《燃油污染损害民事责任保险或其他财务保证证书》，证书是否在有效期内</w:t>
            </w:r>
          </w:p>
        </w:tc>
        <w:tc>
          <w:tcPr>
            <w:tcW w:w="2322" w:type="dxa"/>
            <w:tcBorders>
              <w:top w:val="nil"/>
              <w:left w:val="nil"/>
              <w:bottom w:val="single" w:color="auto" w:sz="4" w:space="0"/>
              <w:right w:val="single" w:color="auto" w:sz="4" w:space="0"/>
            </w:tcBorders>
            <w:shd w:val="clear" w:color="auto" w:fill="auto"/>
            <w:vAlign w:val="center"/>
          </w:tcPr>
          <w:p>
            <w:pPr>
              <w:widowControl/>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179艘次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144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14</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危险化学品水路运输人员资质检查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1、水路运输企业是否按照规定将申报员、检查员信息报送所在地海事管理机构；</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2、申报员、检查员是否按照规定申请取得从业资格证书，申报的信息是否与实际相符；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3、申报员、检查员是否违规使用或者涂改资格证书。</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526艘次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15</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船舶电台执照核发检查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1、船舶是否按照规定持有船舶电台执照。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2、船舶电台执照是否存在伪造、涂改情况。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3、船舶电台执照是否在有效期内。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4、船舶电台执照所载明事项是否与船舶的实际情况相符。</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5303艘次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合格</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16</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海上移动通信业务标识码证书（船舶自动识别系统AIS标识码证书）核发检查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一、船舶是否按照规定持有标识码证书。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二、标识码证书是否存在伪造、涂改情况。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三、标识码证书是否在有效期内。</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四、标识码证书所载明事项是否与船舶的实际情况相符。</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5394艘次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10艘船舶未办理船舶AIS标识码证书</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实施行政处罚</w:t>
            </w:r>
          </w:p>
        </w:tc>
      </w:tr>
      <w:tr>
        <w:tblPrEx>
          <w:tblCellMar>
            <w:top w:w="0" w:type="dxa"/>
            <w:left w:w="108" w:type="dxa"/>
            <w:bottom w:w="0" w:type="dxa"/>
            <w:right w:w="108" w:type="dxa"/>
          </w:tblCellMar>
        </w:tblPrEx>
        <w:trPr>
          <w:trHeight w:val="1200" w:hRule="atLeast"/>
        </w:trPr>
        <w:tc>
          <w:tcPr>
            <w:tcW w:w="511"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17</w:t>
            </w:r>
          </w:p>
        </w:tc>
        <w:tc>
          <w:tcPr>
            <w:tcW w:w="192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水上无线电通信秩序监督检查</w:t>
            </w:r>
          </w:p>
        </w:tc>
        <w:tc>
          <w:tcPr>
            <w:tcW w:w="45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1、船舶通信设备是否按照规定保持正常工作状态。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2、船舶通信设备是否按照规定输入准确信息。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3、是否存在占用遇险和安全通信频率进行有害发射的情况。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4、船舶通信设备是否符合技术规范要求。</w:t>
            </w:r>
          </w:p>
        </w:tc>
        <w:tc>
          <w:tcPr>
            <w:tcW w:w="232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6440艘次</w:t>
            </w:r>
          </w:p>
        </w:tc>
        <w:tc>
          <w:tcPr>
            <w:tcW w:w="2662"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70艘次船舶AIS未正常开启使用</w:t>
            </w:r>
          </w:p>
        </w:tc>
        <w:tc>
          <w:tcPr>
            <w:tcW w:w="172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立即改正，实施</w:t>
            </w:r>
            <w:r>
              <w:rPr>
                <w:rFonts w:hint="eastAsia" w:ascii="宋体" w:hAnsi="宋体" w:eastAsia="宋体" w:cs="宋体"/>
                <w:kern w:val="0"/>
                <w:sz w:val="20"/>
                <w:szCs w:val="20"/>
              </w:rPr>
              <w:t>行政处罚，</w:t>
            </w:r>
          </w:p>
        </w:tc>
      </w:tr>
    </w:tbl>
    <w:p>
      <w:pPr>
        <w:rPr>
          <w:rFonts w:hint="eastAsia" w:eastAsiaTheme="minorEastAsia"/>
          <w:lang w:val="en-US" w:eastAsia="zh-CN"/>
        </w:rPr>
      </w:pPr>
      <w:r>
        <w:rPr>
          <w:rFonts w:hint="eastAsia"/>
          <w:lang w:eastAsia="zh-CN"/>
        </w:rPr>
        <w:t>填报单位：广西海事局</w:t>
      </w:r>
      <w:r>
        <w:rPr>
          <w:rFonts w:hint="eastAsia"/>
          <w:lang w:val="en-US" w:eastAsia="zh-CN"/>
        </w:rPr>
        <w:t xml:space="preserve">                         填报人： 梁晶晶                                联系电话：0771-5532917           </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979"/>
    <w:rsid w:val="0075371F"/>
    <w:rsid w:val="00877979"/>
    <w:rsid w:val="00A86E55"/>
    <w:rsid w:val="00B41A6C"/>
    <w:rsid w:val="00FA55B2"/>
    <w:rsid w:val="252D87C9"/>
    <w:rsid w:val="27321635"/>
    <w:rsid w:val="37F52514"/>
    <w:rsid w:val="3BFB53C9"/>
    <w:rsid w:val="59FF2CDD"/>
    <w:rsid w:val="5AFFFA98"/>
    <w:rsid w:val="5D7F364A"/>
    <w:rsid w:val="75FC0C22"/>
    <w:rsid w:val="77BEF02E"/>
    <w:rsid w:val="77FE4965"/>
    <w:rsid w:val="7BB88A5B"/>
    <w:rsid w:val="7F7FE315"/>
    <w:rsid w:val="7FEF5417"/>
    <w:rsid w:val="DBBF13CD"/>
    <w:rsid w:val="F78F0C48"/>
    <w:rsid w:val="F7B54237"/>
    <w:rsid w:val="F7BDBC1D"/>
    <w:rsid w:val="FEEFDBBA"/>
    <w:rsid w:val="FFF9B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392</Words>
  <Characters>2237</Characters>
  <Lines>18</Lines>
  <Paragraphs>5</Paragraphs>
  <TotalTime>4</TotalTime>
  <ScaleCrop>false</ScaleCrop>
  <LinksUpToDate>false</LinksUpToDate>
  <CharactersWithSpaces>2624</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2019-11-08T07:20:00Z</dcterms:created>
  <dc:creator>DC</dc:creator>
  <cp:lastModifiedBy>kylin</cp:lastModifiedBy>
  <dcterms:modified xsi:type="dcterms:W3CDTF">2022-04-02T12:06:16Z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